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5" w:rsidRPr="0017400A" w:rsidRDefault="00E55B05" w:rsidP="0017400A">
      <w:pPr>
        <w:spacing w:line="360" w:lineRule="auto"/>
        <w:ind w:firstLine="709"/>
        <w:jc w:val="right"/>
        <w:rPr>
          <w:i/>
          <w:sz w:val="30"/>
          <w:szCs w:val="30"/>
        </w:rPr>
      </w:pPr>
      <w:r w:rsidRPr="0017400A">
        <w:rPr>
          <w:i/>
          <w:sz w:val="30"/>
          <w:szCs w:val="30"/>
        </w:rPr>
        <w:t>Пресс-выпуск</w:t>
      </w:r>
    </w:p>
    <w:p w:rsidR="00E55B05" w:rsidRPr="007364E6" w:rsidRDefault="00C648AC" w:rsidP="0017400A">
      <w:pPr>
        <w:spacing w:after="120" w:line="360" w:lineRule="auto"/>
        <w:ind w:firstLine="709"/>
        <w:jc w:val="center"/>
        <w:rPr>
          <w:sz w:val="28"/>
          <w:szCs w:val="28"/>
        </w:rPr>
      </w:pPr>
      <w:r w:rsidRPr="007364E6">
        <w:rPr>
          <w:b/>
          <w:sz w:val="30"/>
          <w:szCs w:val="30"/>
        </w:rPr>
        <w:t>Реаль</w:t>
      </w:r>
      <w:r w:rsidR="00E55B05" w:rsidRPr="007364E6">
        <w:rPr>
          <w:b/>
          <w:sz w:val="30"/>
          <w:szCs w:val="30"/>
        </w:rPr>
        <w:t>ные доходы населения Пензенской области</w:t>
      </w:r>
      <w:r w:rsidRPr="007364E6">
        <w:rPr>
          <w:b/>
          <w:sz w:val="30"/>
          <w:szCs w:val="30"/>
        </w:rPr>
        <w:t xml:space="preserve"> в </w:t>
      </w:r>
      <w:r w:rsidRPr="007364E6">
        <w:rPr>
          <w:b/>
          <w:sz w:val="30"/>
          <w:szCs w:val="30"/>
          <w:lang w:val="en-US"/>
        </w:rPr>
        <w:t>I</w:t>
      </w:r>
      <w:r w:rsidRPr="007364E6">
        <w:rPr>
          <w:b/>
          <w:sz w:val="30"/>
          <w:szCs w:val="30"/>
        </w:rPr>
        <w:t xml:space="preserve"> квартале 2020г.</w:t>
      </w:r>
    </w:p>
    <w:p w:rsidR="007A4864" w:rsidRDefault="00BC3B84" w:rsidP="0017400A">
      <w:pPr>
        <w:spacing w:line="312" w:lineRule="auto"/>
        <w:ind w:firstLine="709"/>
        <w:jc w:val="both"/>
        <w:rPr>
          <w:sz w:val="28"/>
          <w:szCs w:val="28"/>
        </w:rPr>
      </w:pPr>
      <w:r w:rsidRPr="0075265E">
        <w:rPr>
          <w:sz w:val="28"/>
          <w:szCs w:val="28"/>
        </w:rPr>
        <w:t xml:space="preserve">Реальные денежные доходы </w:t>
      </w:r>
      <w:r w:rsidR="00A10D6F" w:rsidRPr="0075265E">
        <w:rPr>
          <w:sz w:val="28"/>
          <w:szCs w:val="28"/>
        </w:rPr>
        <w:t>пензенцев</w:t>
      </w:r>
      <w:r w:rsidRPr="0075265E">
        <w:rPr>
          <w:sz w:val="28"/>
          <w:szCs w:val="28"/>
        </w:rPr>
        <w:t xml:space="preserve"> в </w:t>
      </w:r>
      <w:r w:rsidRPr="0075265E">
        <w:rPr>
          <w:sz w:val="28"/>
          <w:szCs w:val="28"/>
          <w:lang w:val="en-US"/>
        </w:rPr>
        <w:t>I</w:t>
      </w:r>
      <w:r w:rsidRPr="0075265E">
        <w:rPr>
          <w:sz w:val="28"/>
          <w:szCs w:val="28"/>
        </w:rPr>
        <w:t xml:space="preserve"> квартале 2020 г. </w:t>
      </w:r>
      <w:r w:rsidR="00E21300" w:rsidRPr="0075265E">
        <w:rPr>
          <w:sz w:val="28"/>
          <w:szCs w:val="28"/>
        </w:rPr>
        <w:t>выросли</w:t>
      </w:r>
      <w:r w:rsidRPr="0075265E">
        <w:rPr>
          <w:sz w:val="28"/>
          <w:szCs w:val="28"/>
        </w:rPr>
        <w:t xml:space="preserve"> на </w:t>
      </w:r>
      <w:r w:rsidR="00E21300" w:rsidRPr="0075265E">
        <w:rPr>
          <w:sz w:val="28"/>
          <w:szCs w:val="28"/>
        </w:rPr>
        <w:t>2,5</w:t>
      </w:r>
      <w:r w:rsidRPr="0075265E">
        <w:rPr>
          <w:sz w:val="28"/>
          <w:szCs w:val="28"/>
        </w:rPr>
        <w:t xml:space="preserve">% </w:t>
      </w:r>
      <w:r w:rsidRPr="007A4864">
        <w:rPr>
          <w:spacing w:val="-2"/>
          <w:sz w:val="28"/>
          <w:szCs w:val="28"/>
        </w:rPr>
        <w:t xml:space="preserve">по сравнению с </w:t>
      </w:r>
      <w:r w:rsidRPr="007A4864">
        <w:rPr>
          <w:spacing w:val="-2"/>
          <w:sz w:val="28"/>
          <w:szCs w:val="28"/>
          <w:lang w:val="en-US"/>
        </w:rPr>
        <w:t>I</w:t>
      </w:r>
      <w:r w:rsidRPr="007A4864">
        <w:rPr>
          <w:spacing w:val="-2"/>
          <w:sz w:val="28"/>
          <w:szCs w:val="28"/>
        </w:rPr>
        <w:t xml:space="preserve"> кварталом 2019 г.</w:t>
      </w:r>
      <w:r w:rsidR="00E21300" w:rsidRPr="007A4864">
        <w:rPr>
          <w:spacing w:val="-2"/>
          <w:sz w:val="28"/>
          <w:szCs w:val="28"/>
        </w:rPr>
        <w:t xml:space="preserve"> </w:t>
      </w:r>
      <w:r w:rsidR="00185100" w:rsidRPr="007A4864">
        <w:rPr>
          <w:spacing w:val="-2"/>
          <w:sz w:val="28"/>
          <w:szCs w:val="28"/>
        </w:rPr>
        <w:t xml:space="preserve">Это </w:t>
      </w:r>
      <w:r w:rsidR="007364E6" w:rsidRPr="007A4864">
        <w:rPr>
          <w:spacing w:val="-2"/>
          <w:sz w:val="28"/>
          <w:szCs w:val="28"/>
        </w:rPr>
        <w:t xml:space="preserve">выше среднероссийских реальных </w:t>
      </w:r>
      <w:r w:rsidR="008F205D" w:rsidRPr="007A4864">
        <w:rPr>
          <w:spacing w:val="-2"/>
          <w:sz w:val="28"/>
          <w:szCs w:val="28"/>
        </w:rPr>
        <w:t>денежных</w:t>
      </w:r>
      <w:r w:rsidR="008F205D" w:rsidRPr="0075265E">
        <w:rPr>
          <w:sz w:val="28"/>
          <w:szCs w:val="28"/>
        </w:rPr>
        <w:t xml:space="preserve"> </w:t>
      </w:r>
      <w:r w:rsidR="007364E6" w:rsidRPr="007A4864">
        <w:rPr>
          <w:spacing w:val="-2"/>
          <w:sz w:val="28"/>
          <w:szCs w:val="28"/>
        </w:rPr>
        <w:t xml:space="preserve">доходов населения </w:t>
      </w:r>
      <w:r w:rsidR="00185100" w:rsidRPr="007A4864">
        <w:rPr>
          <w:spacing w:val="-2"/>
          <w:sz w:val="28"/>
          <w:szCs w:val="28"/>
        </w:rPr>
        <w:t>на 1,</w:t>
      </w:r>
      <w:r w:rsidR="00811089" w:rsidRPr="007A4864">
        <w:rPr>
          <w:spacing w:val="-2"/>
          <w:sz w:val="28"/>
          <w:szCs w:val="28"/>
        </w:rPr>
        <w:t>6</w:t>
      </w:r>
      <w:r w:rsidR="00185100" w:rsidRPr="007A4864">
        <w:rPr>
          <w:spacing w:val="-2"/>
          <w:sz w:val="28"/>
          <w:szCs w:val="28"/>
        </w:rPr>
        <w:t xml:space="preserve">% и выше </w:t>
      </w:r>
      <w:r w:rsidR="00811089" w:rsidRPr="007A4864">
        <w:rPr>
          <w:spacing w:val="-2"/>
          <w:sz w:val="28"/>
          <w:szCs w:val="28"/>
        </w:rPr>
        <w:t xml:space="preserve">среднерегиональных по Приволжскому федеральному округу </w:t>
      </w:r>
      <w:r w:rsidR="00185100" w:rsidRPr="007A4864">
        <w:rPr>
          <w:spacing w:val="-2"/>
          <w:sz w:val="28"/>
          <w:szCs w:val="28"/>
        </w:rPr>
        <w:t xml:space="preserve">на </w:t>
      </w:r>
      <w:r w:rsidR="00811089" w:rsidRPr="007A4864">
        <w:rPr>
          <w:spacing w:val="-2"/>
          <w:sz w:val="28"/>
          <w:szCs w:val="28"/>
        </w:rPr>
        <w:t>1,4</w:t>
      </w:r>
      <w:r w:rsidR="00185100" w:rsidRPr="007A4864">
        <w:rPr>
          <w:spacing w:val="-2"/>
          <w:sz w:val="28"/>
          <w:szCs w:val="28"/>
        </w:rPr>
        <w:t>%.</w:t>
      </w:r>
      <w:r w:rsidR="00811089" w:rsidRPr="007A4864">
        <w:rPr>
          <w:spacing w:val="-2"/>
          <w:sz w:val="28"/>
          <w:szCs w:val="28"/>
        </w:rPr>
        <w:t xml:space="preserve"> </w:t>
      </w:r>
      <w:r w:rsidR="00E21300" w:rsidRPr="007A4864">
        <w:rPr>
          <w:spacing w:val="-2"/>
          <w:sz w:val="28"/>
          <w:szCs w:val="28"/>
        </w:rPr>
        <w:t>Н</w:t>
      </w:r>
      <w:r w:rsidR="00487F17" w:rsidRPr="007A4864">
        <w:rPr>
          <w:spacing w:val="-2"/>
          <w:sz w:val="28"/>
          <w:szCs w:val="28"/>
        </w:rPr>
        <w:t xml:space="preserve">оминальные денежные доходы составили </w:t>
      </w:r>
      <w:r w:rsidR="00E21300" w:rsidRPr="007A4864">
        <w:rPr>
          <w:spacing w:val="-2"/>
          <w:sz w:val="28"/>
          <w:szCs w:val="28"/>
        </w:rPr>
        <w:t>83,7</w:t>
      </w:r>
      <w:r w:rsidR="00487F17" w:rsidRPr="007A4864">
        <w:rPr>
          <w:spacing w:val="-2"/>
          <w:sz w:val="28"/>
          <w:szCs w:val="28"/>
        </w:rPr>
        <w:t xml:space="preserve"> </w:t>
      </w:r>
      <w:proofErr w:type="gramStart"/>
      <w:r w:rsidR="00487F17" w:rsidRPr="007A4864">
        <w:rPr>
          <w:spacing w:val="-2"/>
          <w:sz w:val="28"/>
          <w:szCs w:val="28"/>
        </w:rPr>
        <w:t>мл</w:t>
      </w:r>
      <w:r w:rsidR="00E21300" w:rsidRPr="007A4864">
        <w:rPr>
          <w:spacing w:val="-2"/>
          <w:sz w:val="28"/>
          <w:szCs w:val="28"/>
        </w:rPr>
        <w:t>рд</w:t>
      </w:r>
      <w:proofErr w:type="gramEnd"/>
      <w:r w:rsidR="00487F17" w:rsidRPr="007A4864">
        <w:rPr>
          <w:spacing w:val="-2"/>
          <w:sz w:val="28"/>
          <w:szCs w:val="28"/>
        </w:rPr>
        <w:t xml:space="preserve"> руб. и увеличились на 4,5%.</w:t>
      </w:r>
    </w:p>
    <w:p w:rsidR="0075265E" w:rsidRPr="0075265E" w:rsidRDefault="007A4864" w:rsidP="007A4864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E0434B" wp14:editId="3582524A">
            <wp:extent cx="5810250" cy="4162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1089" w:rsidRDefault="00A24795" w:rsidP="0017400A">
      <w:pPr>
        <w:spacing w:line="312" w:lineRule="auto"/>
        <w:ind w:firstLine="720"/>
        <w:jc w:val="both"/>
        <w:rPr>
          <w:sz w:val="28"/>
          <w:szCs w:val="28"/>
          <w:lang w:val="en-US"/>
        </w:rPr>
      </w:pPr>
      <w:proofErr w:type="gramStart"/>
      <w:r w:rsidRPr="007364E6">
        <w:rPr>
          <w:spacing w:val="-4"/>
          <w:sz w:val="28"/>
          <w:szCs w:val="28"/>
        </w:rPr>
        <w:t xml:space="preserve">Под </w:t>
      </w:r>
      <w:r w:rsidR="00233510" w:rsidRPr="007364E6">
        <w:rPr>
          <w:spacing w:val="-4"/>
          <w:sz w:val="28"/>
          <w:szCs w:val="28"/>
        </w:rPr>
        <w:t>реальными денежными доходами</w:t>
      </w:r>
      <w:r w:rsidRPr="007364E6">
        <w:rPr>
          <w:spacing w:val="-4"/>
          <w:sz w:val="28"/>
          <w:szCs w:val="28"/>
        </w:rPr>
        <w:t xml:space="preserve"> понимаются </w:t>
      </w:r>
      <w:r w:rsidR="00BC3B84" w:rsidRPr="007364E6">
        <w:rPr>
          <w:spacing w:val="-4"/>
          <w:sz w:val="28"/>
          <w:szCs w:val="28"/>
        </w:rPr>
        <w:t>доходы</w:t>
      </w:r>
      <w:r w:rsidR="00A10D6F" w:rsidRPr="007364E6">
        <w:rPr>
          <w:spacing w:val="-4"/>
          <w:sz w:val="28"/>
          <w:szCs w:val="28"/>
        </w:rPr>
        <w:t>,</w:t>
      </w:r>
      <w:r w:rsidR="00BC3B84" w:rsidRPr="007364E6">
        <w:rPr>
          <w:spacing w:val="-4"/>
          <w:sz w:val="28"/>
          <w:szCs w:val="28"/>
        </w:rPr>
        <w:t xml:space="preserve"> </w:t>
      </w:r>
      <w:r w:rsidR="004F090C" w:rsidRPr="007364E6">
        <w:rPr>
          <w:spacing w:val="-4"/>
          <w:sz w:val="28"/>
          <w:szCs w:val="28"/>
        </w:rPr>
        <w:t>скорректированные</w:t>
      </w:r>
      <w:r w:rsidR="00BC3B84" w:rsidRPr="007364E6">
        <w:rPr>
          <w:sz w:val="28"/>
          <w:szCs w:val="28"/>
        </w:rPr>
        <w:t xml:space="preserve"> с учетом сложивше</w:t>
      </w:r>
      <w:r w:rsidRPr="007364E6">
        <w:rPr>
          <w:sz w:val="28"/>
          <w:szCs w:val="28"/>
        </w:rPr>
        <w:t>й</w:t>
      </w:r>
      <w:r w:rsidR="00BC3B84" w:rsidRPr="007364E6">
        <w:rPr>
          <w:sz w:val="28"/>
          <w:szCs w:val="28"/>
        </w:rPr>
        <w:t>ся инфляции</w:t>
      </w:r>
      <w:r w:rsidR="00C7719F" w:rsidRPr="007364E6">
        <w:rPr>
          <w:sz w:val="28"/>
          <w:szCs w:val="28"/>
        </w:rPr>
        <w:t xml:space="preserve">, которая </w:t>
      </w:r>
      <w:r w:rsidR="00E21300" w:rsidRPr="007364E6">
        <w:rPr>
          <w:sz w:val="28"/>
          <w:szCs w:val="28"/>
        </w:rPr>
        <w:t xml:space="preserve">в </w:t>
      </w:r>
      <w:r w:rsidR="00E21300" w:rsidRPr="007364E6">
        <w:rPr>
          <w:sz w:val="28"/>
          <w:szCs w:val="28"/>
          <w:lang w:val="en-US"/>
        </w:rPr>
        <w:t>I</w:t>
      </w:r>
      <w:r w:rsidR="00E21300" w:rsidRPr="007364E6">
        <w:rPr>
          <w:sz w:val="28"/>
          <w:szCs w:val="28"/>
        </w:rPr>
        <w:t xml:space="preserve"> квартале 2020 г. </w:t>
      </w:r>
      <w:r w:rsidR="00C7719F" w:rsidRPr="007364E6">
        <w:rPr>
          <w:sz w:val="28"/>
          <w:szCs w:val="28"/>
        </w:rPr>
        <w:t>составила</w:t>
      </w:r>
      <w:r w:rsidR="00BC3B84" w:rsidRPr="007364E6">
        <w:rPr>
          <w:sz w:val="28"/>
          <w:szCs w:val="28"/>
        </w:rPr>
        <w:t xml:space="preserve"> </w:t>
      </w:r>
      <w:r w:rsidR="00C7719F" w:rsidRPr="007364E6">
        <w:rPr>
          <w:sz w:val="28"/>
          <w:szCs w:val="28"/>
        </w:rPr>
        <w:t xml:space="preserve">102,0%. </w:t>
      </w:r>
      <w:r w:rsidR="00185100" w:rsidRPr="007364E6">
        <w:rPr>
          <w:sz w:val="28"/>
          <w:szCs w:val="28"/>
        </w:rPr>
        <w:t xml:space="preserve">Выросли цены на продовольственные товары – </w:t>
      </w:r>
      <w:r w:rsidR="00E21300" w:rsidRPr="007364E6">
        <w:rPr>
          <w:sz w:val="28"/>
          <w:szCs w:val="28"/>
        </w:rPr>
        <w:t>на 0,6%</w:t>
      </w:r>
      <w:r w:rsidR="00BC3B84" w:rsidRPr="007364E6">
        <w:rPr>
          <w:sz w:val="28"/>
          <w:szCs w:val="28"/>
        </w:rPr>
        <w:t xml:space="preserve">, </w:t>
      </w:r>
      <w:r w:rsidR="00185100" w:rsidRPr="007364E6">
        <w:rPr>
          <w:sz w:val="28"/>
          <w:szCs w:val="28"/>
        </w:rPr>
        <w:t xml:space="preserve">на непродовольственные товары – </w:t>
      </w:r>
      <w:r w:rsidR="00E21300" w:rsidRPr="007364E6">
        <w:rPr>
          <w:sz w:val="28"/>
          <w:szCs w:val="28"/>
        </w:rPr>
        <w:t>на 2,9</w:t>
      </w:r>
      <w:r w:rsidR="00BC3B84" w:rsidRPr="007364E6">
        <w:rPr>
          <w:sz w:val="28"/>
          <w:szCs w:val="28"/>
        </w:rPr>
        <w:t>,</w:t>
      </w:r>
      <w:r w:rsidR="00185100" w:rsidRPr="007364E6">
        <w:rPr>
          <w:sz w:val="28"/>
          <w:szCs w:val="28"/>
        </w:rPr>
        <w:t xml:space="preserve"> на платные услуги –</w:t>
      </w:r>
      <w:r w:rsidR="00BC3B84" w:rsidRPr="007364E6">
        <w:rPr>
          <w:sz w:val="28"/>
          <w:szCs w:val="28"/>
        </w:rPr>
        <w:t xml:space="preserve"> </w:t>
      </w:r>
      <w:r w:rsidR="00E21300" w:rsidRPr="007364E6">
        <w:rPr>
          <w:sz w:val="28"/>
          <w:szCs w:val="28"/>
        </w:rPr>
        <w:t>на 3,4%</w:t>
      </w:r>
      <w:r w:rsidR="007364E6" w:rsidRPr="007364E6">
        <w:rPr>
          <w:sz w:val="28"/>
          <w:szCs w:val="28"/>
        </w:rPr>
        <w:t>.</w:t>
      </w:r>
      <w:r w:rsidR="00E21300" w:rsidRPr="007364E6">
        <w:rPr>
          <w:sz w:val="28"/>
          <w:szCs w:val="28"/>
        </w:rPr>
        <w:t xml:space="preserve"> </w:t>
      </w:r>
      <w:r w:rsidR="00185100" w:rsidRPr="007364E6">
        <w:rPr>
          <w:sz w:val="28"/>
          <w:szCs w:val="28"/>
        </w:rPr>
        <w:t xml:space="preserve">Рост цен </w:t>
      </w:r>
      <w:r w:rsidR="00B07C06" w:rsidRPr="007364E6">
        <w:rPr>
          <w:sz w:val="28"/>
          <w:szCs w:val="28"/>
        </w:rPr>
        <w:t>привел к увеличению</w:t>
      </w:r>
      <w:r w:rsidR="0078337E" w:rsidRPr="007364E6">
        <w:rPr>
          <w:sz w:val="28"/>
          <w:szCs w:val="28"/>
        </w:rPr>
        <w:t xml:space="preserve"> </w:t>
      </w:r>
      <w:r w:rsidR="00C12D67" w:rsidRPr="007364E6">
        <w:rPr>
          <w:sz w:val="28"/>
          <w:szCs w:val="28"/>
        </w:rPr>
        <w:t>потребительски</w:t>
      </w:r>
      <w:r w:rsidR="00B07C06" w:rsidRPr="007364E6">
        <w:rPr>
          <w:sz w:val="28"/>
          <w:szCs w:val="28"/>
        </w:rPr>
        <w:t>х</w:t>
      </w:r>
      <w:r w:rsidR="00C12D67" w:rsidRPr="007364E6">
        <w:rPr>
          <w:sz w:val="28"/>
          <w:szCs w:val="28"/>
        </w:rPr>
        <w:t xml:space="preserve"> расход</w:t>
      </w:r>
      <w:r w:rsidR="00B07C06" w:rsidRPr="007364E6">
        <w:rPr>
          <w:sz w:val="28"/>
          <w:szCs w:val="28"/>
        </w:rPr>
        <w:t>ов</w:t>
      </w:r>
      <w:r w:rsidR="00C12D67" w:rsidRPr="007364E6">
        <w:rPr>
          <w:sz w:val="28"/>
          <w:szCs w:val="28"/>
        </w:rPr>
        <w:t xml:space="preserve"> на душу населения</w:t>
      </w:r>
      <w:r w:rsidR="00E21300" w:rsidRPr="007364E6">
        <w:rPr>
          <w:sz w:val="28"/>
          <w:szCs w:val="28"/>
        </w:rPr>
        <w:t xml:space="preserve"> на </w:t>
      </w:r>
      <w:r w:rsidR="0078337E" w:rsidRPr="007364E6">
        <w:rPr>
          <w:sz w:val="28"/>
          <w:szCs w:val="28"/>
        </w:rPr>
        <w:t>4,7</w:t>
      </w:r>
      <w:r w:rsidR="00E21300" w:rsidRPr="007364E6">
        <w:rPr>
          <w:sz w:val="28"/>
          <w:szCs w:val="28"/>
        </w:rPr>
        <w:t>%</w:t>
      </w:r>
      <w:r w:rsidR="0078337E" w:rsidRPr="007364E6">
        <w:rPr>
          <w:sz w:val="28"/>
          <w:szCs w:val="28"/>
        </w:rPr>
        <w:t xml:space="preserve"> (</w:t>
      </w:r>
      <w:r w:rsidR="00185100" w:rsidRPr="007364E6">
        <w:rPr>
          <w:sz w:val="28"/>
          <w:szCs w:val="28"/>
        </w:rPr>
        <w:t xml:space="preserve">на 854,3 руб.), которые составили 19215,8 руб. </w:t>
      </w:r>
      <w:r w:rsidR="00487F17" w:rsidRPr="007364E6">
        <w:rPr>
          <w:rFonts w:eastAsia="Calibri"/>
          <w:sz w:val="28"/>
          <w:szCs w:val="28"/>
          <w:lang w:eastAsia="en-US"/>
        </w:rPr>
        <w:t>В то же время</w:t>
      </w:r>
      <w:r w:rsidR="007364E6">
        <w:rPr>
          <w:rFonts w:eastAsia="Calibri"/>
          <w:sz w:val="28"/>
          <w:szCs w:val="28"/>
          <w:lang w:eastAsia="en-US"/>
        </w:rPr>
        <w:t>,</w:t>
      </w:r>
      <w:r w:rsidR="00487F17" w:rsidRPr="007364E6">
        <w:rPr>
          <w:rFonts w:eastAsia="Calibri"/>
          <w:sz w:val="28"/>
          <w:szCs w:val="28"/>
          <w:lang w:eastAsia="en-US"/>
        </w:rPr>
        <w:t xml:space="preserve"> среднедушевые</w:t>
      </w:r>
      <w:proofErr w:type="gramEnd"/>
      <w:r w:rsidR="00487F17" w:rsidRPr="007364E6">
        <w:rPr>
          <w:sz w:val="28"/>
          <w:szCs w:val="28"/>
        </w:rPr>
        <w:t xml:space="preserve"> денежные доходы населения выросли на </w:t>
      </w:r>
      <w:r w:rsidR="0078337E" w:rsidRPr="007364E6">
        <w:rPr>
          <w:sz w:val="28"/>
          <w:szCs w:val="28"/>
        </w:rPr>
        <w:t>5,5</w:t>
      </w:r>
      <w:r w:rsidR="00487F17" w:rsidRPr="007364E6">
        <w:rPr>
          <w:sz w:val="28"/>
          <w:szCs w:val="28"/>
        </w:rPr>
        <w:t xml:space="preserve">% </w:t>
      </w:r>
      <w:r w:rsidR="0078337E" w:rsidRPr="007364E6">
        <w:rPr>
          <w:sz w:val="28"/>
          <w:szCs w:val="28"/>
        </w:rPr>
        <w:t>(</w:t>
      </w:r>
      <w:r w:rsidR="00487F17" w:rsidRPr="007364E6">
        <w:rPr>
          <w:sz w:val="28"/>
          <w:szCs w:val="28"/>
        </w:rPr>
        <w:t xml:space="preserve">на </w:t>
      </w:r>
      <w:r w:rsidR="0078337E" w:rsidRPr="007364E6">
        <w:rPr>
          <w:sz w:val="28"/>
          <w:szCs w:val="28"/>
        </w:rPr>
        <w:t>1121,4</w:t>
      </w:r>
      <w:r w:rsidR="00487F17" w:rsidRPr="007364E6">
        <w:rPr>
          <w:sz w:val="28"/>
          <w:szCs w:val="28"/>
        </w:rPr>
        <w:t xml:space="preserve"> руб.</w:t>
      </w:r>
      <w:r w:rsidR="0078337E" w:rsidRPr="007364E6">
        <w:rPr>
          <w:sz w:val="28"/>
          <w:szCs w:val="28"/>
        </w:rPr>
        <w:t>)</w:t>
      </w:r>
      <w:r w:rsidR="00487F17" w:rsidRPr="007364E6">
        <w:rPr>
          <w:sz w:val="28"/>
          <w:szCs w:val="28"/>
        </w:rPr>
        <w:t xml:space="preserve"> к </w:t>
      </w:r>
      <w:r w:rsidR="00487F17" w:rsidRPr="007364E6">
        <w:rPr>
          <w:sz w:val="28"/>
          <w:szCs w:val="28"/>
          <w:lang w:val="en-US"/>
        </w:rPr>
        <w:t>I</w:t>
      </w:r>
      <w:r w:rsidR="00487F17" w:rsidRPr="007364E6">
        <w:rPr>
          <w:sz w:val="28"/>
          <w:szCs w:val="28"/>
        </w:rPr>
        <w:t xml:space="preserve"> кварталу 2019 г. и сост</w:t>
      </w:r>
      <w:bookmarkStart w:id="0" w:name="_GoBack"/>
      <w:bookmarkEnd w:id="0"/>
      <w:r w:rsidR="00487F17" w:rsidRPr="007364E6">
        <w:rPr>
          <w:sz w:val="28"/>
          <w:szCs w:val="28"/>
        </w:rPr>
        <w:t xml:space="preserve">авили </w:t>
      </w:r>
      <w:r w:rsidR="0078337E" w:rsidRPr="007364E6">
        <w:rPr>
          <w:sz w:val="28"/>
          <w:szCs w:val="28"/>
        </w:rPr>
        <w:t>21360,9</w:t>
      </w:r>
      <w:r w:rsidR="00487F17" w:rsidRPr="007364E6">
        <w:rPr>
          <w:sz w:val="28"/>
          <w:szCs w:val="28"/>
        </w:rPr>
        <w:t xml:space="preserve"> руб. </w:t>
      </w:r>
      <w:r w:rsidR="00185100" w:rsidRPr="007364E6">
        <w:rPr>
          <w:sz w:val="28"/>
          <w:szCs w:val="28"/>
        </w:rPr>
        <w:t>Среди регионов Приволжского федерального округа Пензенская область заняла по данному показателю 9-е место.</w:t>
      </w:r>
    </w:p>
    <w:p w:rsidR="0017400A" w:rsidRPr="0017400A" w:rsidRDefault="0017400A" w:rsidP="0017400A">
      <w:pPr>
        <w:pStyle w:val="aa"/>
        <w:spacing w:before="6" w:after="6" w:line="312" w:lineRule="auto"/>
        <w:jc w:val="right"/>
        <w:rPr>
          <w:rFonts w:ascii="Times New Roman" w:hAnsi="Times New Roman"/>
          <w:i/>
          <w:sz w:val="28"/>
          <w:szCs w:val="28"/>
        </w:rPr>
      </w:pPr>
      <w:r w:rsidRPr="0017400A">
        <w:rPr>
          <w:rFonts w:ascii="Times New Roman" w:hAnsi="Times New Roman"/>
          <w:i/>
          <w:sz w:val="28"/>
          <w:szCs w:val="28"/>
        </w:rPr>
        <w:t>А.Н. Самсонов,</w:t>
      </w:r>
    </w:p>
    <w:p w:rsidR="0017400A" w:rsidRPr="0017400A" w:rsidRDefault="0017400A" w:rsidP="0017400A">
      <w:pPr>
        <w:spacing w:line="312" w:lineRule="auto"/>
        <w:ind w:firstLine="720"/>
        <w:jc w:val="right"/>
        <w:rPr>
          <w:sz w:val="28"/>
          <w:szCs w:val="28"/>
        </w:rPr>
      </w:pPr>
      <w:r w:rsidRPr="0017400A">
        <w:rPr>
          <w:i/>
          <w:sz w:val="28"/>
          <w:szCs w:val="28"/>
        </w:rPr>
        <w:t>начальник отдела статистики предприятий, региональных счетов и ведения Статистического регистра и общероссийских классификаторов</w:t>
      </w:r>
    </w:p>
    <w:sectPr w:rsidR="0017400A" w:rsidRPr="0017400A" w:rsidSect="00FD11EE">
      <w:footnotePr>
        <w:numRestart w:val="eachPage"/>
      </w:footnotePr>
      <w:pgSz w:w="11906" w:h="16838"/>
      <w:pgMar w:top="1134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35" w:rsidRDefault="00703235" w:rsidP="00CE21AD">
      <w:r>
        <w:separator/>
      </w:r>
    </w:p>
  </w:endnote>
  <w:endnote w:type="continuationSeparator" w:id="0">
    <w:p w:rsidR="00703235" w:rsidRDefault="00703235" w:rsidP="00CE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35" w:rsidRDefault="00703235" w:rsidP="00CE21AD">
      <w:r>
        <w:separator/>
      </w:r>
    </w:p>
  </w:footnote>
  <w:footnote w:type="continuationSeparator" w:id="0">
    <w:p w:rsidR="00703235" w:rsidRDefault="00703235" w:rsidP="00CE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BB"/>
    <w:multiLevelType w:val="hybridMultilevel"/>
    <w:tmpl w:val="C2A83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07755"/>
    <w:multiLevelType w:val="hybridMultilevel"/>
    <w:tmpl w:val="BAD07058"/>
    <w:lvl w:ilvl="0" w:tplc="1CB21AFC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9C"/>
    <w:rsid w:val="00000783"/>
    <w:rsid w:val="000010E9"/>
    <w:rsid w:val="000070CA"/>
    <w:rsid w:val="000137FA"/>
    <w:rsid w:val="0002066E"/>
    <w:rsid w:val="00020706"/>
    <w:rsid w:val="00055759"/>
    <w:rsid w:val="00061CDB"/>
    <w:rsid w:val="00072103"/>
    <w:rsid w:val="00084FDB"/>
    <w:rsid w:val="000850DF"/>
    <w:rsid w:val="00086B11"/>
    <w:rsid w:val="000947D0"/>
    <w:rsid w:val="000A6731"/>
    <w:rsid w:val="000B76DF"/>
    <w:rsid w:val="000F4414"/>
    <w:rsid w:val="00125705"/>
    <w:rsid w:val="0015015B"/>
    <w:rsid w:val="00154283"/>
    <w:rsid w:val="00154C02"/>
    <w:rsid w:val="001603D2"/>
    <w:rsid w:val="00171C6E"/>
    <w:rsid w:val="0017400A"/>
    <w:rsid w:val="00185100"/>
    <w:rsid w:val="001908DD"/>
    <w:rsid w:val="001A2ED5"/>
    <w:rsid w:val="001B3242"/>
    <w:rsid w:val="001D13D0"/>
    <w:rsid w:val="001D20AF"/>
    <w:rsid w:val="00205D94"/>
    <w:rsid w:val="0021165C"/>
    <w:rsid w:val="00233510"/>
    <w:rsid w:val="00242874"/>
    <w:rsid w:val="002658EE"/>
    <w:rsid w:val="002668DC"/>
    <w:rsid w:val="002763BA"/>
    <w:rsid w:val="00283C4B"/>
    <w:rsid w:val="00284C91"/>
    <w:rsid w:val="0028575A"/>
    <w:rsid w:val="00290698"/>
    <w:rsid w:val="002968A6"/>
    <w:rsid w:val="002B29DC"/>
    <w:rsid w:val="002C27BF"/>
    <w:rsid w:val="002C29C1"/>
    <w:rsid w:val="002C4B31"/>
    <w:rsid w:val="002C52CC"/>
    <w:rsid w:val="002D4251"/>
    <w:rsid w:val="002E0679"/>
    <w:rsid w:val="002E0B56"/>
    <w:rsid w:val="003109A2"/>
    <w:rsid w:val="00311C39"/>
    <w:rsid w:val="003268FC"/>
    <w:rsid w:val="003355C5"/>
    <w:rsid w:val="003610D4"/>
    <w:rsid w:val="00371857"/>
    <w:rsid w:val="00374199"/>
    <w:rsid w:val="00380FD7"/>
    <w:rsid w:val="003C1F61"/>
    <w:rsid w:val="00417601"/>
    <w:rsid w:val="00432BC3"/>
    <w:rsid w:val="004473CC"/>
    <w:rsid w:val="004803FF"/>
    <w:rsid w:val="0048342A"/>
    <w:rsid w:val="0048404A"/>
    <w:rsid w:val="004871AE"/>
    <w:rsid w:val="00487F17"/>
    <w:rsid w:val="004909BC"/>
    <w:rsid w:val="004916D0"/>
    <w:rsid w:val="004A0137"/>
    <w:rsid w:val="004A11CE"/>
    <w:rsid w:val="004B3B6C"/>
    <w:rsid w:val="004C0F3E"/>
    <w:rsid w:val="004F090C"/>
    <w:rsid w:val="004F6F1F"/>
    <w:rsid w:val="00532BB6"/>
    <w:rsid w:val="0053758F"/>
    <w:rsid w:val="00544B08"/>
    <w:rsid w:val="00576E41"/>
    <w:rsid w:val="0059109C"/>
    <w:rsid w:val="005A11FD"/>
    <w:rsid w:val="005A5F2E"/>
    <w:rsid w:val="005C5388"/>
    <w:rsid w:val="005D02C9"/>
    <w:rsid w:val="005D10C4"/>
    <w:rsid w:val="005F66DF"/>
    <w:rsid w:val="00615510"/>
    <w:rsid w:val="00615A88"/>
    <w:rsid w:val="0061742D"/>
    <w:rsid w:val="00621893"/>
    <w:rsid w:val="00661FFB"/>
    <w:rsid w:val="006B3EE6"/>
    <w:rsid w:val="006C3EE3"/>
    <w:rsid w:val="006E19C4"/>
    <w:rsid w:val="006F4717"/>
    <w:rsid w:val="006F59AB"/>
    <w:rsid w:val="007019ED"/>
    <w:rsid w:val="00701F59"/>
    <w:rsid w:val="00703235"/>
    <w:rsid w:val="00705373"/>
    <w:rsid w:val="007062AE"/>
    <w:rsid w:val="0071796E"/>
    <w:rsid w:val="007364E6"/>
    <w:rsid w:val="007448D8"/>
    <w:rsid w:val="0075265E"/>
    <w:rsid w:val="007526A2"/>
    <w:rsid w:val="00775FB2"/>
    <w:rsid w:val="0078337E"/>
    <w:rsid w:val="00787EBA"/>
    <w:rsid w:val="007A40DA"/>
    <w:rsid w:val="007A4864"/>
    <w:rsid w:val="007A54C5"/>
    <w:rsid w:val="007B0231"/>
    <w:rsid w:val="007E450D"/>
    <w:rsid w:val="00811089"/>
    <w:rsid w:val="008175F4"/>
    <w:rsid w:val="008277CE"/>
    <w:rsid w:val="00842AA8"/>
    <w:rsid w:val="00856D02"/>
    <w:rsid w:val="00866D42"/>
    <w:rsid w:val="008919DF"/>
    <w:rsid w:val="008A72B0"/>
    <w:rsid w:val="008C0502"/>
    <w:rsid w:val="008C7C1E"/>
    <w:rsid w:val="008D2B0E"/>
    <w:rsid w:val="008D6EEB"/>
    <w:rsid w:val="008F03E3"/>
    <w:rsid w:val="008F205D"/>
    <w:rsid w:val="008F2AC0"/>
    <w:rsid w:val="008F30AE"/>
    <w:rsid w:val="008F72B4"/>
    <w:rsid w:val="00903094"/>
    <w:rsid w:val="009115A5"/>
    <w:rsid w:val="009165F4"/>
    <w:rsid w:val="009274F3"/>
    <w:rsid w:val="009360E1"/>
    <w:rsid w:val="00944460"/>
    <w:rsid w:val="00951CC9"/>
    <w:rsid w:val="009A1CCF"/>
    <w:rsid w:val="009A2BD3"/>
    <w:rsid w:val="009A4753"/>
    <w:rsid w:val="009F00D3"/>
    <w:rsid w:val="009F433E"/>
    <w:rsid w:val="009F579E"/>
    <w:rsid w:val="00A10103"/>
    <w:rsid w:val="00A10D6F"/>
    <w:rsid w:val="00A118B5"/>
    <w:rsid w:val="00A24795"/>
    <w:rsid w:val="00A67C28"/>
    <w:rsid w:val="00A72955"/>
    <w:rsid w:val="00A80D20"/>
    <w:rsid w:val="00A81D2E"/>
    <w:rsid w:val="00AD68CF"/>
    <w:rsid w:val="00AD7298"/>
    <w:rsid w:val="00AE0119"/>
    <w:rsid w:val="00AF3F95"/>
    <w:rsid w:val="00B038E2"/>
    <w:rsid w:val="00B07C06"/>
    <w:rsid w:val="00B12C9C"/>
    <w:rsid w:val="00B1691C"/>
    <w:rsid w:val="00B20B4A"/>
    <w:rsid w:val="00B24635"/>
    <w:rsid w:val="00B3567F"/>
    <w:rsid w:val="00B36E49"/>
    <w:rsid w:val="00B41BA7"/>
    <w:rsid w:val="00B45166"/>
    <w:rsid w:val="00B510B9"/>
    <w:rsid w:val="00B634C7"/>
    <w:rsid w:val="00B66DD8"/>
    <w:rsid w:val="00B74CA5"/>
    <w:rsid w:val="00B80752"/>
    <w:rsid w:val="00B820DB"/>
    <w:rsid w:val="00B82A15"/>
    <w:rsid w:val="00B85AB1"/>
    <w:rsid w:val="00B92263"/>
    <w:rsid w:val="00BC3B84"/>
    <w:rsid w:val="00BC6657"/>
    <w:rsid w:val="00BD2229"/>
    <w:rsid w:val="00BD79BF"/>
    <w:rsid w:val="00BE53C6"/>
    <w:rsid w:val="00C00E1B"/>
    <w:rsid w:val="00C12D67"/>
    <w:rsid w:val="00C44925"/>
    <w:rsid w:val="00C45D54"/>
    <w:rsid w:val="00C538C4"/>
    <w:rsid w:val="00C648AC"/>
    <w:rsid w:val="00C65F61"/>
    <w:rsid w:val="00C7719F"/>
    <w:rsid w:val="00C95900"/>
    <w:rsid w:val="00CA2E68"/>
    <w:rsid w:val="00CB5178"/>
    <w:rsid w:val="00CB5678"/>
    <w:rsid w:val="00CC570C"/>
    <w:rsid w:val="00CE21AD"/>
    <w:rsid w:val="00CF2040"/>
    <w:rsid w:val="00D02355"/>
    <w:rsid w:val="00D0715C"/>
    <w:rsid w:val="00D13B5C"/>
    <w:rsid w:val="00D14685"/>
    <w:rsid w:val="00D17056"/>
    <w:rsid w:val="00D273CC"/>
    <w:rsid w:val="00D3635E"/>
    <w:rsid w:val="00D46E2E"/>
    <w:rsid w:val="00D5402E"/>
    <w:rsid w:val="00D544F6"/>
    <w:rsid w:val="00D71ACE"/>
    <w:rsid w:val="00DE1366"/>
    <w:rsid w:val="00E21300"/>
    <w:rsid w:val="00E3301A"/>
    <w:rsid w:val="00E40C9C"/>
    <w:rsid w:val="00E425B6"/>
    <w:rsid w:val="00E50A49"/>
    <w:rsid w:val="00E55B05"/>
    <w:rsid w:val="00E61DC7"/>
    <w:rsid w:val="00E94E8C"/>
    <w:rsid w:val="00EB67D4"/>
    <w:rsid w:val="00ED6AD8"/>
    <w:rsid w:val="00F00995"/>
    <w:rsid w:val="00F06161"/>
    <w:rsid w:val="00F10611"/>
    <w:rsid w:val="00F23062"/>
    <w:rsid w:val="00F23D0B"/>
    <w:rsid w:val="00F26BD3"/>
    <w:rsid w:val="00F329A3"/>
    <w:rsid w:val="00F41111"/>
    <w:rsid w:val="00F57B5C"/>
    <w:rsid w:val="00F663EF"/>
    <w:rsid w:val="00F7059C"/>
    <w:rsid w:val="00FA26A7"/>
    <w:rsid w:val="00FA3AE5"/>
    <w:rsid w:val="00FA4F86"/>
    <w:rsid w:val="00FB16E7"/>
    <w:rsid w:val="00FD058F"/>
    <w:rsid w:val="00FD11EE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52" w:right="277" w:hanging="61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252" w:right="277" w:hanging="612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aps/>
      <w:color w:val="000080"/>
      <w:sz w:val="16"/>
      <w:szCs w:val="16"/>
    </w:rPr>
  </w:style>
  <w:style w:type="paragraph" w:styleId="5">
    <w:name w:val="heading 5"/>
    <w:basedOn w:val="a"/>
    <w:next w:val="a"/>
    <w:qFormat/>
    <w:rsid w:val="000850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3">
    <w:name w:val="Body Text 3"/>
    <w:basedOn w:val="a"/>
    <w:pPr>
      <w:ind w:right="-108"/>
      <w:jc w:val="both"/>
    </w:pPr>
    <w:rPr>
      <w:sz w:val="20"/>
    </w:rPr>
  </w:style>
  <w:style w:type="paragraph" w:customStyle="1" w:styleId="10">
    <w:name w:val="Обычный1"/>
    <w:pPr>
      <w:widowControl w:val="0"/>
      <w:snapToGrid w:val="0"/>
      <w:spacing w:before="28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268FC"/>
    <w:pPr>
      <w:spacing w:after="120"/>
      <w:ind w:left="283"/>
    </w:pPr>
  </w:style>
  <w:style w:type="paragraph" w:customStyle="1" w:styleId="a6">
    <w:name w:val="Цифры"/>
    <w:basedOn w:val="a"/>
    <w:rsid w:val="00A118B5"/>
    <w:pPr>
      <w:jc w:val="right"/>
    </w:pPr>
    <w:rPr>
      <w:rFonts w:ascii="Arial" w:hAnsi="Arial"/>
      <w:sz w:val="20"/>
      <w:szCs w:val="20"/>
    </w:rPr>
  </w:style>
  <w:style w:type="paragraph" w:styleId="a7">
    <w:name w:val="footnote text"/>
    <w:basedOn w:val="a"/>
    <w:semiHidden/>
    <w:rsid w:val="00A118B5"/>
    <w:rPr>
      <w:rFonts w:ascii="Arial" w:hAnsi="Arial"/>
      <w:sz w:val="20"/>
      <w:szCs w:val="20"/>
    </w:rPr>
  </w:style>
  <w:style w:type="paragraph" w:customStyle="1" w:styleId="a8">
    <w:name w:val="Шапка таблицы"/>
    <w:basedOn w:val="2"/>
    <w:rsid w:val="00A118B5"/>
    <w:pPr>
      <w:ind w:left="0" w:right="0" w:firstLine="0"/>
    </w:pPr>
    <w:rPr>
      <w:rFonts w:ascii="Arial" w:hAnsi="Arial"/>
      <w:b w:val="0"/>
      <w:i/>
      <w:sz w:val="20"/>
      <w:szCs w:val="20"/>
    </w:rPr>
  </w:style>
  <w:style w:type="character" w:styleId="a9">
    <w:name w:val="footnote reference"/>
    <w:rsid w:val="00CE21AD"/>
    <w:rPr>
      <w:vertAlign w:val="superscript"/>
    </w:rPr>
  </w:style>
  <w:style w:type="paragraph" w:customStyle="1" w:styleId="aa">
    <w:name w:val="Текстовая часть"/>
    <w:link w:val="ab"/>
    <w:rsid w:val="00B12C9C"/>
    <w:pPr>
      <w:ind w:firstLine="709"/>
      <w:jc w:val="both"/>
    </w:pPr>
    <w:rPr>
      <w:rFonts w:ascii="Arial" w:hAnsi="Arial"/>
      <w:sz w:val="22"/>
    </w:rPr>
  </w:style>
  <w:style w:type="character" w:customStyle="1" w:styleId="ab">
    <w:name w:val="Текстовая часть Знак"/>
    <w:link w:val="aa"/>
    <w:rsid w:val="00B12C9C"/>
    <w:rPr>
      <w:rFonts w:ascii="Arial" w:hAnsi="Arial"/>
      <w:sz w:val="22"/>
    </w:rPr>
  </w:style>
  <w:style w:type="table" w:styleId="ac">
    <w:name w:val="Table Grid"/>
    <w:basedOn w:val="a1"/>
    <w:rsid w:val="008F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52" w:right="277" w:hanging="61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252" w:right="277" w:hanging="612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aps/>
      <w:color w:val="000080"/>
      <w:sz w:val="16"/>
      <w:szCs w:val="16"/>
    </w:rPr>
  </w:style>
  <w:style w:type="paragraph" w:styleId="5">
    <w:name w:val="heading 5"/>
    <w:basedOn w:val="a"/>
    <w:next w:val="a"/>
    <w:qFormat/>
    <w:rsid w:val="000850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3">
    <w:name w:val="Body Text 3"/>
    <w:basedOn w:val="a"/>
    <w:pPr>
      <w:ind w:right="-108"/>
      <w:jc w:val="both"/>
    </w:pPr>
    <w:rPr>
      <w:sz w:val="20"/>
    </w:rPr>
  </w:style>
  <w:style w:type="paragraph" w:customStyle="1" w:styleId="10">
    <w:name w:val="Обычный1"/>
    <w:pPr>
      <w:widowControl w:val="0"/>
      <w:snapToGrid w:val="0"/>
      <w:spacing w:before="28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268FC"/>
    <w:pPr>
      <w:spacing w:after="120"/>
      <w:ind w:left="283"/>
    </w:pPr>
  </w:style>
  <w:style w:type="paragraph" w:customStyle="1" w:styleId="a6">
    <w:name w:val="Цифры"/>
    <w:basedOn w:val="a"/>
    <w:rsid w:val="00A118B5"/>
    <w:pPr>
      <w:jc w:val="right"/>
    </w:pPr>
    <w:rPr>
      <w:rFonts w:ascii="Arial" w:hAnsi="Arial"/>
      <w:sz w:val="20"/>
      <w:szCs w:val="20"/>
    </w:rPr>
  </w:style>
  <w:style w:type="paragraph" w:styleId="a7">
    <w:name w:val="footnote text"/>
    <w:basedOn w:val="a"/>
    <w:semiHidden/>
    <w:rsid w:val="00A118B5"/>
    <w:rPr>
      <w:rFonts w:ascii="Arial" w:hAnsi="Arial"/>
      <w:sz w:val="20"/>
      <w:szCs w:val="20"/>
    </w:rPr>
  </w:style>
  <w:style w:type="paragraph" w:customStyle="1" w:styleId="a8">
    <w:name w:val="Шапка таблицы"/>
    <w:basedOn w:val="2"/>
    <w:rsid w:val="00A118B5"/>
    <w:pPr>
      <w:ind w:left="0" w:right="0" w:firstLine="0"/>
    </w:pPr>
    <w:rPr>
      <w:rFonts w:ascii="Arial" w:hAnsi="Arial"/>
      <w:b w:val="0"/>
      <w:i/>
      <w:sz w:val="20"/>
      <w:szCs w:val="20"/>
    </w:rPr>
  </w:style>
  <w:style w:type="character" w:styleId="a9">
    <w:name w:val="footnote reference"/>
    <w:rsid w:val="00CE21AD"/>
    <w:rPr>
      <w:vertAlign w:val="superscript"/>
    </w:rPr>
  </w:style>
  <w:style w:type="paragraph" w:customStyle="1" w:styleId="aa">
    <w:name w:val="Текстовая часть"/>
    <w:link w:val="ab"/>
    <w:rsid w:val="00B12C9C"/>
    <w:pPr>
      <w:ind w:firstLine="709"/>
      <w:jc w:val="both"/>
    </w:pPr>
    <w:rPr>
      <w:rFonts w:ascii="Arial" w:hAnsi="Arial"/>
      <w:sz w:val="22"/>
    </w:rPr>
  </w:style>
  <w:style w:type="character" w:customStyle="1" w:styleId="ab">
    <w:name w:val="Текстовая часть Знак"/>
    <w:link w:val="aa"/>
    <w:rsid w:val="00B12C9C"/>
    <w:rPr>
      <w:rFonts w:ascii="Arial" w:hAnsi="Arial"/>
      <w:sz w:val="22"/>
    </w:rPr>
  </w:style>
  <w:style w:type="table" w:styleId="ac">
    <w:name w:val="Table Grid"/>
    <w:basedOn w:val="a1"/>
    <w:rsid w:val="008F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ctr" anchorCtr="1"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Реальные денежные доходы населения в </a:t>
            </a: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I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квартале 2020 г.</a:t>
            </a:r>
            <a:b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в % к </a:t>
            </a: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кварталу 2019 г.</a:t>
            </a:r>
          </a:p>
        </c:rich>
      </c:tx>
      <c:layout>
        <c:manualLayout>
          <c:xMode val="edge"/>
          <c:yMode val="edge"/>
          <c:x val="0.1844077199930847"/>
          <c:y val="3.5995500562431108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404328557291001E-2"/>
          <c:y val="0.11485203059295007"/>
          <c:w val="0.93659567144270905"/>
          <c:h val="0.7045725735895915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данные!$B$3:$B$4</c:f>
              <c:strCache>
                <c:ptCount val="1"/>
                <c:pt idx="0">
                  <c:v>Реальные денежные доходы населения в I квартале 2020 (к соответствующему периоду предыдущего года), процентов</c:v>
                </c:pt>
              </c:strCache>
            </c:strRef>
          </c:tx>
          <c:spPr>
            <a:gradFill rotWithShape="0">
              <a:gsLst>
                <a:gs pos="1000">
                  <a:schemeClr val="tx2">
                    <a:lumMod val="20000"/>
                    <a:lumOff val="80000"/>
                  </a:schemeClr>
                </a:gs>
                <a:gs pos="100000">
                  <a:schemeClr val="tx2">
                    <a:lumMod val="60000"/>
                    <a:lumOff val="40000"/>
                  </a:schemeClr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B0F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gradFill rotWithShape="0">
                <a:gsLst>
                  <a:gs pos="1000">
                    <a:srgbClr val="92D050"/>
                  </a:gs>
                  <a:gs pos="100000">
                    <a:srgbClr val="00B050"/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rgbClr val="00B05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gradFill rotWithShape="0">
                <a:gsLst>
                  <a:gs pos="1000">
                    <a:srgbClr val="FFFF00"/>
                  </a:gs>
                  <a:gs pos="99000">
                    <a:srgbClr val="FFC000"/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rgbClr val="FFC000"/>
                </a:solidFill>
                <a:prstDash val="solid"/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gradFill rotWithShape="0">
                <a:gsLst>
                  <a:gs pos="1000">
                    <a:schemeClr val="tx2">
                      <a:lumMod val="20000"/>
                      <a:lumOff val="80000"/>
                    </a:schemeClr>
                  </a:gs>
                  <a:gs pos="98000">
                    <a:schemeClr val="tx2">
                      <a:lumMod val="60000"/>
                      <a:lumOff val="40000"/>
                    </a:schemeClr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chemeClr val="tx2">
                    <a:lumMod val="60000"/>
                    <a:lumOff val="40000"/>
                  </a:schemeClr>
                </a:solidFill>
                <a:prstDash val="solid"/>
              </a:ln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gradFill rotWithShape="0">
                <a:gsLst>
                  <a:gs pos="1000">
                    <a:srgbClr val="C00000"/>
                  </a:gs>
                  <a:gs pos="100000">
                    <a:srgbClr val="FF0000"/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rgbClr val="FF0000"/>
                </a:solidFill>
                <a:prstDash val="solid"/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gradFill rotWithShape="0">
                <a:gsLst>
                  <a:gs pos="1000">
                    <a:schemeClr val="tx2">
                      <a:lumMod val="20000"/>
                      <a:lumOff val="80000"/>
                    </a:schemeClr>
                  </a:gs>
                  <a:gs pos="100000">
                    <a:schemeClr val="tx2">
                      <a:lumMod val="60000"/>
                      <a:lumOff val="40000"/>
                    </a:schemeClr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chemeClr val="tx2">
                    <a:lumMod val="20000"/>
                    <a:lumOff val="80000"/>
                  </a:schemeClr>
                </a:solidFill>
                <a:prstDash val="solid"/>
              </a:ln>
            </c:spPr>
          </c:dPt>
          <c:dPt>
            <c:idx val="8"/>
            <c:invertIfNegative val="0"/>
            <c:bubble3D val="0"/>
            <c:spPr>
              <a:gradFill rotWithShape="0">
                <a:gsLst>
                  <a:gs pos="1000">
                    <a:schemeClr val="tx2">
                      <a:lumMod val="20000"/>
                      <a:lumOff val="80000"/>
                    </a:schemeClr>
                  </a:gs>
                  <a:gs pos="100000">
                    <a:schemeClr val="tx2">
                      <a:lumMod val="60000"/>
                      <a:lumOff val="40000"/>
                    </a:schemeClr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chemeClr val="tx2">
                    <a:lumMod val="20000"/>
                    <a:lumOff val="80000"/>
                  </a:schemeClr>
                </a:solidFill>
                <a:prstDash val="solid"/>
              </a:ln>
            </c:spPr>
          </c:dPt>
          <c:dPt>
            <c:idx val="9"/>
            <c:invertIfNegative val="0"/>
            <c:bubble3D val="0"/>
            <c:spPr>
              <a:gradFill rotWithShape="0">
                <a:gsLst>
                  <a:gs pos="1000">
                    <a:srgbClr val="C6D9F1"/>
                  </a:gs>
                  <a:gs pos="100000">
                    <a:srgbClr val="558ED5"/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rgbClr val="00B0F0"/>
                </a:solidFill>
                <a:prstDash val="solid"/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  <c:spPr>
              <a:gradFill rotWithShape="0">
                <a:gsLst>
                  <a:gs pos="1000">
                    <a:schemeClr val="accent6">
                      <a:lumMod val="40000"/>
                      <a:lumOff val="60000"/>
                    </a:schemeClr>
                  </a:gs>
                  <a:gs pos="98000">
                    <a:schemeClr val="accent6">
                      <a:lumMod val="60000"/>
                      <a:lumOff val="40000"/>
                    </a:schemeClr>
                  </a:gs>
                </a:gsLst>
                <a:path path="rect">
                  <a:fillToRect l="50000" t="50000" r="50000" b="50000"/>
                </a:path>
              </a:gradFill>
              <a:ln w="3175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gradFill rotWithShape="0">
                <a:gsLst>
                  <a:gs pos="1000">
                    <a:schemeClr val="accent6">
                      <a:lumMod val="40000"/>
                      <a:lumOff val="60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path path="rect">
                  <a:fillToRect l="50000" t="50000" r="50000" b="50000"/>
                </a:path>
              </a:gradFill>
              <a:ln w="12700">
                <a:solidFill>
                  <a:schemeClr val="accent6">
                    <a:lumMod val="60000"/>
                    <a:lumOff val="40000"/>
                  </a:schemeClr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3738378041727899E-3"/>
                  <c:y val="7.93853893263342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524804418149713E-3"/>
                  <c:y val="6.06596563855216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38004359624539E-3"/>
                  <c:y val="7.73137732783402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89423947393897E-17"/>
                  <c:y val="5.9523809523809156E-3"/>
                </c:manualLayout>
              </c:layout>
              <c:tx>
                <c:rich>
                  <a:bodyPr/>
                  <a:lstStyle/>
                  <a:p>
                    <a:r>
                      <a:rPr lang="ru-RU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103,4</a:t>
                    </a:r>
                    <a:endParaRPr lang="en-US" b="1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5.952380952380952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Arial Cyr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9607633791538767E-4"/>
                  <c:y val="5.56758530183727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499844299123626E-3"/>
                  <c:y val="5.82005374328208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0155033586903331E-3"/>
                  <c:y val="7.62873390826146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0383469015525604E-3"/>
                  <c:y val="5.0668666416697917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100,7</a:t>
                    </a:r>
                    <a:endParaRPr lang="en-US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940032919613862E-3"/>
                  <c:y val="5.4519747531558554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100,7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3707460296276524E-5"/>
                  <c:y val="3.7137545306836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9149025395683006E-4"/>
                  <c:y val="4.83597820262445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4919925263580376E-3"/>
                  <c:y val="7.00037495313085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4832225313153221E-5"/>
                  <c:y val="9.03746122643760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9920159680638719E-3"/>
                  <c:y val="0.137376282510140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данные!$A$5:$A$20</c:f>
              <c:strCache>
                <c:ptCount val="16"/>
                <c:pt idx="0">
                  <c:v>Российская
 Федерация</c:v>
                </c:pt>
                <c:pt idx="1">
                  <c:v>Приволжский
 федеральный округ</c:v>
                </c:pt>
                <c:pt idx="2">
                  <c:v>Республика Мордовия</c:v>
                </c:pt>
                <c:pt idx="3">
                  <c:v>Чувашская Республика </c:v>
                </c:pt>
                <c:pt idx="4">
                  <c:v>Саратовская область</c:v>
                </c:pt>
                <c:pt idx="5">
                  <c:v>Пензенская область </c:v>
                </c:pt>
                <c:pt idx="6">
                  <c:v>Оренбургская область</c:v>
                </c:pt>
                <c:pt idx="7">
                  <c:v>Республика Марий Эл  </c:v>
                </c:pt>
                <c:pt idx="8">
                  <c:v>Республика Башкортостан</c:v>
                </c:pt>
                <c:pt idx="9">
                  <c:v>Республика Татарстан</c:v>
                </c:pt>
                <c:pt idx="10">
                  <c:v>Нижегородская область </c:v>
                </c:pt>
                <c:pt idx="11">
                  <c:v>Ульяновская область</c:v>
                </c:pt>
                <c:pt idx="12">
                  <c:v>Пермская область </c:v>
                </c:pt>
                <c:pt idx="13">
                  <c:v>Самарская область</c:v>
                </c:pt>
                <c:pt idx="14">
                  <c:v>Кировская область</c:v>
                </c:pt>
                <c:pt idx="15">
                  <c:v>Удмуртская Республика</c:v>
                </c:pt>
              </c:strCache>
            </c:strRef>
          </c:cat>
          <c:val>
            <c:numRef>
              <c:f>данные!$B$5:$B$20</c:f>
              <c:numCache>
                <c:formatCode>0.0</c:formatCode>
                <c:ptCount val="16"/>
                <c:pt idx="0">
                  <c:v>100.9</c:v>
                </c:pt>
                <c:pt idx="1">
                  <c:v>101.1</c:v>
                </c:pt>
                <c:pt idx="2">
                  <c:v>103.4</c:v>
                </c:pt>
                <c:pt idx="3">
                  <c:v>103.4</c:v>
                </c:pt>
                <c:pt idx="4">
                  <c:v>102.8</c:v>
                </c:pt>
                <c:pt idx="5">
                  <c:v>102.5</c:v>
                </c:pt>
                <c:pt idx="6">
                  <c:v>102.1</c:v>
                </c:pt>
                <c:pt idx="7">
                  <c:v>102</c:v>
                </c:pt>
                <c:pt idx="8">
                  <c:v>100.9</c:v>
                </c:pt>
                <c:pt idx="9">
                  <c:v>100.7</c:v>
                </c:pt>
                <c:pt idx="10">
                  <c:v>100.7</c:v>
                </c:pt>
                <c:pt idx="11">
                  <c:v>100.6</c:v>
                </c:pt>
                <c:pt idx="12">
                  <c:v>100.5</c:v>
                </c:pt>
                <c:pt idx="13">
                  <c:v>100.3</c:v>
                </c:pt>
                <c:pt idx="14">
                  <c:v>99.8</c:v>
                </c:pt>
                <c:pt idx="15">
                  <c:v>99.4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5484416"/>
        <c:axId val="35485952"/>
      </c:barChart>
      <c:catAx>
        <c:axId val="3548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35485952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35485952"/>
        <c:scaling>
          <c:orientation val="minMax"/>
          <c:max val="104"/>
          <c:min val="98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35484416"/>
        <c:crosses val="autoZero"/>
        <c:crossBetween val="between"/>
        <c:majorUnit val="1"/>
        <c:minorUnit val="0.4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F854-9847-437B-8C80-73AD9FA7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Хохлова Татьяна Рамазановна</cp:lastModifiedBy>
  <cp:revision>3</cp:revision>
  <cp:lastPrinted>2020-05-26T10:01:00Z</cp:lastPrinted>
  <dcterms:created xsi:type="dcterms:W3CDTF">2020-05-26T10:47:00Z</dcterms:created>
  <dcterms:modified xsi:type="dcterms:W3CDTF">2020-05-26T10:54:00Z</dcterms:modified>
</cp:coreProperties>
</file>